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B2" w:rsidRDefault="004755CD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C867B2" w:rsidRDefault="00C867B2">
      <w:pPr>
        <w:spacing w:line="600" w:lineRule="exact"/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p w:rsidR="00C867B2" w:rsidRDefault="004755CD">
      <w:pPr>
        <w:pStyle w:val="1"/>
        <w:spacing w:before="0" w:after="0" w:line="660" w:lineRule="exact"/>
        <w:ind w:firstLineChars="298" w:firstLine="1311"/>
        <w:rPr>
          <w:rFonts w:ascii="方正小标宋简体" w:eastAsia="方正小标宋简体"/>
          <w:b w:val="0"/>
          <w:bCs w:val="0"/>
          <w:kern w:val="2"/>
        </w:rPr>
      </w:pPr>
      <w:r>
        <w:rPr>
          <w:rFonts w:ascii="方正小标宋简体" w:eastAsia="方正小标宋简体" w:hint="eastAsia"/>
          <w:b w:val="0"/>
          <w:kern w:val="2"/>
        </w:rPr>
        <w:t>“华东地区优质工程奖”评审办法</w:t>
      </w:r>
    </w:p>
    <w:p w:rsidR="00C867B2" w:rsidRDefault="00C867B2">
      <w:pPr>
        <w:spacing w:line="50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/>
          <w:b/>
        </w:rPr>
      </w:pPr>
      <w:r>
        <w:rPr>
          <w:rFonts w:ascii="仿宋_GB2312" w:eastAsia="仿宋_GB2312" w:hAnsi="黑体" w:hint="eastAsia"/>
          <w:b/>
        </w:rPr>
        <w:t>第一章  总  则</w:t>
      </w:r>
    </w:p>
    <w:p w:rsidR="00C867B2" w:rsidRDefault="004755CD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第一条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为增强质量意识，争创优质工程，推动建设工程质量水平的提高，根据会员单位要求，经华东地区各省（市）建筑（行）业协会友好协商，制定本办法。</w:t>
      </w:r>
    </w:p>
    <w:p w:rsidR="00C867B2" w:rsidRDefault="004755CD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第二条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华东地区建设工程“华东地区优质工程奖”是“华东六省一市”建设工程质量最高荣誉奖，评选对象为“华东六省一市”建筑（行）业协会所属会员企业在“华东六省一市”区域内承建、已完成竣工验收备案并投入使用的各类建设工程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pacing w:val="-6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第三条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华东地区“华东地区优质工程奖”每年评审一次；坚持优中选优的原则，年度最终获奖总数控制在100项以内。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第四条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已经中国建筑业协会、中国施工企业管理协会同意，获得“华东地区优质工程奖”并符合“鲁班奖”、“国家优质工程奖”申报条件的工程项目可申报“鲁班奖”和“国家优质工程奖”。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pacing w:val="-2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第五条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评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</w:rPr>
        <w:t>选工作由华东地区各省（市）建筑（行）业协会负责组织实施，审定工作由华东地区建筑（行）业协会联席会负责。</w:t>
      </w: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/>
          <w:b/>
        </w:rPr>
      </w:pPr>
      <w:r>
        <w:rPr>
          <w:rFonts w:ascii="仿宋_GB2312" w:eastAsia="仿宋_GB2312" w:hAnsi="黑体" w:hint="eastAsia"/>
          <w:b/>
        </w:rPr>
        <w:lastRenderedPageBreak/>
        <w:t>第二章  评审组织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第六条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为保证评审工作的科学公正，各省（市）建筑（行）业协会成立“华东地区优质工程奖”评选委员会，华东地区建筑（行）业协会联席会成立“华东地区优质工程奖”评审委员会。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pacing w:val="-8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第七条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</w:rPr>
        <w:t>“华东地区优质工程奖”由华东地区各省（市）建筑（行）业协会分别负责组织实施。其主要职责是：受理参评工程申报；按照《评审办法》，</w:t>
      </w:r>
      <w:r>
        <w:rPr>
          <w:rFonts w:ascii="仿宋_GB2312" w:eastAsia="仿宋_GB2312" w:hAnsi="Times New Roman" w:cs="Times New Roman" w:hint="eastAsia"/>
          <w:spacing w:val="-8"/>
          <w:sz w:val="32"/>
          <w:szCs w:val="32"/>
        </w:rPr>
        <w:t>对申报资料进行审查，对工程实体进行现场复查；向评审委员会提出推荐名单，报送书面评选报告。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评选工作坚持严格、认真、公正、公平的原则。评审委员会下设办公室，具体负责评选委员会的日常工作。办公室设在各省（市）建筑（行）业协会。</w:t>
      </w:r>
    </w:p>
    <w:p w:rsidR="00C867B2" w:rsidRDefault="004755CD">
      <w:pPr>
        <w:tabs>
          <w:tab w:val="left" w:pos="5760"/>
        </w:tabs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第八条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“华东地区优质工程奖”评审主任、副主任及委员的人员组成，由当年轮值协会会长或秘书长出任主任、下届轮值协会会长或秘书长出任副主任，其他省（市）协会会长或秘书长为成员。其主要职责：领导和组织评审工作，制定评审办法，确定年度各省（市）“华东地区优质工程奖”名额，召开审定委员会会议，听取各评选委员会评选情况报告，研究解决评审工作中出现的问题，以实名投票方式审定评选结果。</w:t>
      </w: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/>
          <w:b/>
        </w:rPr>
      </w:pPr>
      <w:r>
        <w:rPr>
          <w:rFonts w:ascii="仿宋_GB2312" w:eastAsia="仿宋_GB2312" w:hAnsi="黑体" w:hint="eastAsia"/>
          <w:b/>
        </w:rPr>
        <w:t>第三章  评审范围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pacing w:val="-12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第九条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pacing w:val="-12"/>
          <w:sz w:val="32"/>
          <w:szCs w:val="32"/>
        </w:rPr>
        <w:t>华东地区“华东地区优质工程奖”评审范围及规模：</w:t>
      </w:r>
    </w:p>
    <w:p w:rsidR="00C867B2" w:rsidRDefault="004755CD">
      <w:pPr>
        <w:pStyle w:val="ac"/>
        <w:spacing w:line="56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1、公共建筑工程：建筑面积</w:t>
      </w:r>
      <w:r>
        <w:rPr>
          <w:rFonts w:ascii="仿宋_GB2312" w:eastAsia="仿宋_GB2312" w:hint="eastAsia"/>
          <w:sz w:val="32"/>
          <w:szCs w:val="32"/>
        </w:rPr>
        <w:t>≥</w:t>
      </w:r>
      <w:r>
        <w:rPr>
          <w:rFonts w:ascii="仿宋_GB2312" w:eastAsia="仿宋_GB2312" w:hAnsi="Times New Roman" w:hint="eastAsia"/>
          <w:sz w:val="32"/>
          <w:szCs w:val="32"/>
        </w:rPr>
        <w:t>20000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的单体工程，或总建筑面积</w:t>
      </w:r>
      <w:r>
        <w:rPr>
          <w:rFonts w:ascii="仿宋_GB2312" w:eastAsia="仿宋_GB2312" w:hint="eastAsia"/>
          <w:sz w:val="32"/>
          <w:szCs w:val="32"/>
        </w:rPr>
        <w:t>≥</w:t>
      </w:r>
      <w:r>
        <w:rPr>
          <w:rFonts w:ascii="仿宋_GB2312" w:eastAsia="仿宋_GB2312" w:hAnsi="Times New Roman" w:hint="eastAsia"/>
          <w:sz w:val="32"/>
          <w:szCs w:val="32"/>
        </w:rPr>
        <w:t>50000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的群体建筑；</w:t>
      </w:r>
      <w:r>
        <w:rPr>
          <w:rFonts w:ascii="仿宋_GB2312" w:eastAsia="仿宋_GB2312" w:hAnsi="Times New Roman" w:hint="eastAsia"/>
          <w:sz w:val="32"/>
          <w:szCs w:val="32"/>
        </w:rPr>
        <w:t>3万座以上的体育场；5000座以上的体育馆；3000座以上的游泳馆；1500座以上的影剧院；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200间以上客房的饭店、宾馆；高度350米以上的电视发射塔；建筑面积</w:t>
      </w:r>
      <w:r>
        <w:rPr>
          <w:rFonts w:ascii="仿宋_GB2312" w:eastAsia="仿宋_GB2312" w:hint="eastAsia"/>
          <w:sz w:val="32"/>
          <w:szCs w:val="32"/>
        </w:rPr>
        <w:t>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3000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的古建筑修缮、历史遗迹重建工程。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2、住宅工程：建筑面积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的单体住宅，建筑面积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50000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、且各项配套设施均建成，入住率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40%住宅小区或组团。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3、工业建筑工程：建筑面积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或单跨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24米的单体工程，或工程造价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1亿元的建设项目。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4、市政工程：工程造价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2亿元的城市道路整体工程；工程造价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1亿元的互通立交桥；连续长度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3000米的城市道路高架桥；连续长度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2000米的城市隧道；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设有首末站的轨道交通工程；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处理能力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10万吨/日的给水厂或污水处理厂。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5、园林和环境工程：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占地面积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0000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、且建筑面积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0000</w:t>
      </w:r>
      <w:r>
        <w:rPr>
          <w:rFonts w:ascii="Batang" w:eastAsia="仿宋_GB2312" w:hAnsi="Batang" w:cs="Batang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，或工程造价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1亿元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的园林建筑、人造景观。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pacing w:val="-6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6、交通工程：单独立项的高速公路；连续长度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50千米的一级公路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（整体工程）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；连续长度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2000</w:t>
      </w:r>
      <w:r>
        <w:rPr>
          <w:rFonts w:ascii="仿宋_GB2312" w:eastAsia="仿宋_GB2312" w:hAnsi="宋体" w:cs="Times New Roman" w:hint="eastAsia"/>
          <w:sz w:val="32"/>
          <w:szCs w:val="32"/>
        </w:rPr>
        <w:t>米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的隧道；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连续长度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1000</w:t>
      </w:r>
      <w:r>
        <w:rPr>
          <w:rFonts w:ascii="仿宋_GB2312" w:eastAsia="仿宋_GB2312" w:hAnsi="宋体" w:cs="Times New Roman" w:hint="eastAsia"/>
          <w:sz w:val="32"/>
          <w:szCs w:val="32"/>
        </w:rPr>
        <w:t>米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的铁路桥；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连续长度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3000米的公路高架桥；单孔跨径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200米的桥梁；内河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1万吨、沿海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2万吨的港口码头；</w:t>
      </w:r>
      <w:r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沿海</w:t>
      </w: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工程造价</w:t>
      </w:r>
      <w:r>
        <w:rPr>
          <w:rFonts w:ascii="仿宋_GB2312" w:eastAsia="仿宋_GB2312" w:hAnsi="宋体" w:cs="Times New Roman" w:hint="eastAsia"/>
          <w:spacing w:val="-6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2亿元或内河</w:t>
      </w: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工程造价</w:t>
      </w:r>
      <w:r>
        <w:rPr>
          <w:rFonts w:ascii="仿宋_GB2312" w:eastAsia="仿宋_GB2312" w:hAnsi="宋体" w:cs="Times New Roman" w:hint="eastAsia"/>
          <w:spacing w:val="-6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1亿元的其它水运工程</w:t>
      </w: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7、电力工程：单机容量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300MW的发电厂、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600MW的核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电站；总装机容量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250MW的水电站、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50MW的风电场；送变电能力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500KV的送变电工程；工程造价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2亿元的城市垃圾焚烧、生物质发电、余热综合利用发电工程。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8、水利工程：单项构筑物工程造价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1亿元的单独立项的水利建设工程。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9、通信工程：工程造价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1亿元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的通信建设工程。</w:t>
      </w:r>
    </w:p>
    <w:p w:rsidR="00C867B2" w:rsidRDefault="004755CD">
      <w:pPr>
        <w:spacing w:line="560" w:lineRule="exact"/>
        <w:ind w:firstLineChars="100" w:firstLine="321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第十条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下列工程不列入评审范围：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pacing w:val="-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</w:t>
      </w:r>
      <w:r>
        <w:rPr>
          <w:rFonts w:ascii="仿宋_GB2312" w:eastAsia="仿宋_GB2312" w:hAnsi="Times New Roman" w:cs="Times New Roman" w:hint="eastAsia"/>
          <w:spacing w:val="-12"/>
          <w:sz w:val="32"/>
          <w:szCs w:val="32"/>
        </w:rPr>
        <w:t>保密工程和竣工后被隐蔽、工程质量不能进行复查的工程；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2、发生过较大及以上质量或安全亡人事故，受到建设行政主管部门通报批评的工程。</w:t>
      </w: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 w:cs="Times New Roman"/>
          <w:b/>
        </w:rPr>
      </w:pPr>
      <w:r>
        <w:rPr>
          <w:rFonts w:ascii="仿宋_GB2312" w:eastAsia="仿宋_GB2312" w:hAnsi="黑体" w:cs="Times New Roman" w:hint="eastAsia"/>
          <w:b/>
        </w:rPr>
        <w:t>第四章  申报条件和办法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申报华东地区建设工程“华东地区优质工程奖”，应具备下列条件：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l、符合基本建设程序。</w:t>
      </w:r>
    </w:p>
    <w:p w:rsidR="00C867B2" w:rsidRDefault="004755CD">
      <w:pPr>
        <w:spacing w:line="560" w:lineRule="exact"/>
        <w:ind w:firstLineChars="200" w:firstLine="616"/>
        <w:jc w:val="left"/>
        <w:rPr>
          <w:rFonts w:ascii="仿宋_GB2312" w:eastAsia="仿宋_GB2312" w:hAnsi="Times New Roman" w:cs="Times New Roman"/>
          <w:spacing w:val="-6"/>
          <w:sz w:val="32"/>
          <w:szCs w:val="32"/>
        </w:rPr>
      </w:pP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2、符合国家和行业设计标准、规范，工程设计合理、先进。</w:t>
      </w:r>
    </w:p>
    <w:p w:rsidR="00C867B2" w:rsidRDefault="004755CD">
      <w:pPr>
        <w:spacing w:line="560" w:lineRule="exact"/>
        <w:ind w:firstLineChars="200" w:firstLine="616"/>
        <w:jc w:val="left"/>
        <w:rPr>
          <w:rFonts w:ascii="仿宋_GB2312" w:eastAsia="仿宋_GB2312" w:hAnsi="Times New Roman" w:cs="Times New Roman"/>
          <w:spacing w:val="-6"/>
          <w:sz w:val="32"/>
          <w:szCs w:val="32"/>
        </w:rPr>
      </w:pP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3、施工工艺和技术措施先进、合理，符合国家强制性标准。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4、工程竣工验收后，经过一年的使用检验，未发现质量问题和隐患。申报工程竣工截止时间为前一年的9月30日。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5、原则上获得省优质工程奖的项目，方可申报华东地区优质工程。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第十二条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华东地区“华东地区优质工程奖”由总承包单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位申报，主要参建单位有关材料可作为申报资料附件。如两家及以上单位联合承包一项工程，并签订了联合承包合同的，可以联合申报。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第十三条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申报“华东地区优质工程奖”的承建单位、主要参建单位应具备如下条件：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（一）承建单位：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l、公共建筑和住宅工程中，承担了主体结构的施工。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2、以安装为主体的工业建设项目，承担了主要生产设备和管线、仪器、仪表的安装；在以土建工程为主体的工业建设项目中，承担主厂房和其它与生产相关的主要建筑物、构筑物的施工。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3、交通、电力、市政公用、园林环境、水利等工程，承担了主体工程和工程主要部位的施工。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（二）主要参建单位：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1、与总承包企业或业主签订分包合同；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2、完成的工作量占工程总造价的10％或</w:t>
      </w:r>
      <w:r>
        <w:rPr>
          <w:rFonts w:ascii="仿宋_GB2312" w:eastAsia="仿宋_GB2312" w:hAnsi="宋体" w:cs="Times New Roman" w:hint="eastAsia"/>
          <w:sz w:val="32"/>
          <w:szCs w:val="32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2000万元。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第十四条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申报办法</w:t>
      </w:r>
    </w:p>
    <w:p w:rsidR="00C867B2" w:rsidRDefault="004755CD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“华东地区优质工程奖”由企业自愿申报，经工程所在地或企业所在地省（市）建筑（行）业协会受理申报。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第十五条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申报材料的内容及要求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凡申报“华东地区优质工程奖”，应提供如下材料：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1、《“华东地区优质工程奖”申请表》（一式两份，其中一份须与申报资料胶装）；</w:t>
      </w:r>
    </w:p>
    <w:p w:rsidR="00C867B2" w:rsidRDefault="004755CD">
      <w:pPr>
        <w:pStyle w:val="ae"/>
        <w:spacing w:line="560" w:lineRule="exact"/>
        <w:ind w:left="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2、工程概况和施工质量情况的文字资料（3000字以内）一份；</w:t>
      </w:r>
    </w:p>
    <w:p w:rsidR="00C867B2" w:rsidRDefault="004755CD">
      <w:pPr>
        <w:pStyle w:val="ae"/>
        <w:spacing w:line="560" w:lineRule="exact"/>
        <w:ind w:left="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3、工程项目立项批文、建设工程规划许可证、中标通知书、施工许可证复印件各一份；</w:t>
      </w:r>
    </w:p>
    <w:p w:rsidR="00C867B2" w:rsidRDefault="004755CD">
      <w:pPr>
        <w:pStyle w:val="ae"/>
        <w:spacing w:line="560" w:lineRule="exact"/>
        <w:ind w:left="0" w:firstLineChars="200" w:firstLine="616"/>
        <w:jc w:val="left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4、工程施工合同、有关申报的参建单位合同复印件各一份；</w:t>
      </w:r>
    </w:p>
    <w:p w:rsidR="00C867B2" w:rsidRDefault="004755CD">
      <w:pPr>
        <w:pStyle w:val="ae"/>
        <w:spacing w:line="560" w:lineRule="exact"/>
        <w:ind w:left="899" w:hangingChars="281" w:hanging="89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5、项目经理（建造师）证书复印件一份；</w:t>
      </w:r>
    </w:p>
    <w:p w:rsidR="00C867B2" w:rsidRDefault="004755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6、监理工作总结及工程质量评估报告复印件各一份；</w:t>
      </w:r>
    </w:p>
    <w:p w:rsidR="00C867B2" w:rsidRDefault="004755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7、竣工验收证明及备案证书复印件各一份。</w:t>
      </w: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/>
          <w:b/>
        </w:rPr>
      </w:pPr>
      <w:r>
        <w:rPr>
          <w:rFonts w:ascii="仿宋_GB2312" w:eastAsia="仿宋_GB2312" w:hAnsi="黑体" w:hint="eastAsia"/>
          <w:b/>
        </w:rPr>
        <w:t>第五章  工程评审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第十六条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“华东地区优质工程奖”评审程序：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1、根据申报分配名额，各省（市）建筑（行）业协会应在每年8月31日前组织完成申报、现场复查工作。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2、评选委员会根据工程的申报资料和复查组的检查报告，召开评委会，以有记名投票方式确定推荐名单，并形成书面评选报告。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3、各</w:t>
      </w: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省（市）建筑（行）业协会对拟推荐名单在各自网站公示10天，接受社会监督。公示结束，于8月底之前将推荐名单报送轮值协会。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pacing w:val="-6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4、每年10月份召开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</w:rPr>
        <w:t>华东地区建筑（行）业协会联席会，同时召开“华东地区优质工程奖”评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审委员会会议，对各评选委员会提交的评选报告和推荐名单进行审查，以实名投票方式确定表彰名单。同时确定下年度各省（市）“华东地区优质工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程奖”名额。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第十七条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</w:rPr>
        <w:t>各省（市）评选委员会应按以下主要内容和要求组织工程复查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pacing w:val="-6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1、听</w:t>
      </w:r>
      <w:r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取承建单位对工程施工和质量的情况介绍。主要介绍工程特点、难点，施工技术及质量保证措施，各分部分项工程质量情况。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2、实地查验工程质量水平。凡是检查组要求查看的工程内容和部位，都必须予以满足，不得以任何理由回避或拒绝。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pacing w:val="-4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3、听取使用单位对工程质量的评价意见。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检查组与使用单位座谈时，主要承建单位和主要参建单位的有关人员应当回避。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4、查阅工程的法定程序资料、质量保证及技术管理资料。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pacing w:val="-4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第十八条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实行评选和评审工作责任负责制。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申报、推荐、复查、评选和评审等各个环节有关责任人应对其行为负责。</w:t>
      </w: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/>
          <w:b/>
        </w:rPr>
      </w:pPr>
      <w:r>
        <w:rPr>
          <w:rFonts w:ascii="仿宋_GB2312" w:eastAsia="仿宋_GB2312" w:hAnsi="黑体" w:hint="eastAsia"/>
          <w:b/>
        </w:rPr>
        <w:t>第六章  奖   励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第十九条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华东地区省（市）建筑（行）业协会联席会拟每年召开颁奖大会，向荣获“华东地区优质工程奖”的承建单位授予奖牌和获奖证书，参建单位授予获奖证书，并通过决议通报表彰。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各省（市）建筑（行）业协会应建议当地主管部门，对获奖施工企业给予相应奖励。</w:t>
      </w: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/>
          <w:b/>
        </w:rPr>
      </w:pPr>
      <w:r>
        <w:rPr>
          <w:rFonts w:ascii="仿宋_GB2312" w:eastAsia="仿宋_GB2312" w:hAnsi="黑体" w:hint="eastAsia"/>
          <w:b/>
        </w:rPr>
        <w:lastRenderedPageBreak/>
        <w:t>第七章  纪  律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第二十条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受理“华东地区优质工程奖”申报的工作人员、工程检查人员、评选和审定委员会成员必须秉公办事、廉洁自律，不得收受企业及有关人员的礼品、礼金，违者将视情节轻重，给予批评教育，直至撤销负责申报受理、工程检查、评委资格，并将违纪行为通知本人所在单位。</w:t>
      </w:r>
    </w:p>
    <w:p w:rsidR="00C867B2" w:rsidRDefault="004755CD">
      <w:pPr>
        <w:pStyle w:val="2"/>
        <w:spacing w:before="190" w:after="190" w:line="560" w:lineRule="exact"/>
        <w:rPr>
          <w:rFonts w:ascii="仿宋_GB2312" w:eastAsia="仿宋_GB2312" w:hAnsi="黑体"/>
          <w:b/>
        </w:rPr>
      </w:pPr>
      <w:r>
        <w:rPr>
          <w:rFonts w:ascii="仿宋_GB2312" w:eastAsia="仿宋_GB2312" w:hAnsi="黑体" w:hint="eastAsia"/>
          <w:b/>
        </w:rPr>
        <w:t>第八章  附  则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第二十一条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对已获奖的工程，若发生质量投诉情况，由受理协会组织核查。经核查，工程质量确不符合“华东地区优质工程奖”标准的，撤销该工程获奖称号，收回奖牌和证书，并将核查报告上报评审委员会。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第二十二条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凡向评审委员会申报的评审材料，均由当年轮值协会存档。</w:t>
      </w:r>
    </w:p>
    <w:p w:rsidR="00C867B2" w:rsidRDefault="004755CD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轮值协会负责日常事务的联络与协调。轮值时间每届为1年，顺序为：上海、江苏、浙江、山东、安徽、福建、江西。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第二十三条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本办法由华东地区“华东地区优质工程奖”评审委员会负责解释。</w:t>
      </w:r>
    </w:p>
    <w:p w:rsidR="00C867B2" w:rsidRDefault="004755CD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第二十四条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本办法自发文之日起执行。</w:t>
      </w:r>
    </w:p>
    <w:p w:rsidR="00C867B2" w:rsidRDefault="00C867B2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C867B2" w:rsidRDefault="004755CD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br w:type="page"/>
      </w:r>
    </w:p>
    <w:p w:rsidR="00C867B2" w:rsidRDefault="00C867B2">
      <w:pPr>
        <w:spacing w:beforeLines="20" w:before="126" w:line="400" w:lineRule="exact"/>
        <w:ind w:firstLineChars="200" w:firstLine="420"/>
        <w:rPr>
          <w:rFonts w:ascii="仿宋_GB2312" w:eastAsia="仿宋_GB2312" w:hAnsi="Times New Roman" w:cs="Times New Roman"/>
          <w:szCs w:val="21"/>
        </w:rPr>
      </w:pPr>
    </w:p>
    <w:sectPr w:rsidR="00C867B2">
      <w:footerReference w:type="even" r:id="rId8"/>
      <w:pgSz w:w="11906" w:h="16838" w:code="9"/>
      <w:pgMar w:top="2098" w:right="1531" w:bottom="1474" w:left="1588" w:header="851" w:footer="1134" w:gutter="0"/>
      <w:pgNumType w:fmt="numberInDash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4E" w:rsidRDefault="00CC464E">
      <w:r>
        <w:separator/>
      </w:r>
    </w:p>
  </w:endnote>
  <w:endnote w:type="continuationSeparator" w:id="0">
    <w:p w:rsidR="00CC464E" w:rsidRDefault="00CC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Noto Sans Syriac Eastern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644" w:rsidRDefault="00C11644">
    <w:pPr>
      <w:pStyle w:val="a8"/>
      <w:ind w:leftChars="100" w:left="210" w:rightChars="100" w:right="21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4E" w:rsidRDefault="00CC464E">
      <w:r>
        <w:separator/>
      </w:r>
    </w:p>
  </w:footnote>
  <w:footnote w:type="continuationSeparator" w:id="0">
    <w:p w:rsidR="00CC464E" w:rsidRDefault="00CC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B22FB"/>
    <w:multiLevelType w:val="hybridMultilevel"/>
    <w:tmpl w:val="1910D7DA"/>
    <w:lvl w:ilvl="0" w:tplc="18D60990">
      <w:start w:val="7"/>
      <w:numFmt w:val="japaneseCounting"/>
      <w:lvlText w:val="第%1章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31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B2"/>
    <w:rsid w:val="001F761E"/>
    <w:rsid w:val="004755CD"/>
    <w:rsid w:val="00591023"/>
    <w:rsid w:val="008273C5"/>
    <w:rsid w:val="00C11644"/>
    <w:rsid w:val="00C867B2"/>
    <w:rsid w:val="00CC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8821"/>
  <w15:docId w15:val="{C137873F-7836-4783-8F1F-16A601C5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Lines="30" w:before="30" w:afterLines="30" w:after="30" w:line="520" w:lineRule="exact"/>
      <w:jc w:val="center"/>
      <w:outlineLvl w:val="1"/>
    </w:pPr>
    <w:rPr>
      <w:rFonts w:ascii="Calibri Light" w:eastAsia="方正黑体_GBK" w:hAnsi="Calibri Light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Date"/>
    <w:basedOn w:val="a"/>
    <w:next w:val="a"/>
    <w:link w:val="a5"/>
    <w:uiPriority w:val="99"/>
    <w:pPr>
      <w:ind w:leftChars="2500" w:left="100"/>
    </w:pPr>
  </w:style>
  <w:style w:type="character" w:customStyle="1" w:styleId="a5">
    <w:name w:val="日期 字符"/>
    <w:basedOn w:val="a0"/>
    <w:link w:val="a4"/>
    <w:uiPriority w:val="99"/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Body Text"/>
    <w:basedOn w:val="a"/>
    <w:link w:val="ad"/>
    <w:pPr>
      <w:widowControl/>
      <w:spacing w:line="600" w:lineRule="exact"/>
      <w:jc w:val="center"/>
    </w:pPr>
    <w:rPr>
      <w:rFonts w:ascii="华文中宋" w:eastAsia="华文中宋" w:hAnsi="宋体" w:cs="Times New Roman"/>
      <w:kern w:val="0"/>
      <w:sz w:val="44"/>
      <w:szCs w:val="24"/>
    </w:rPr>
  </w:style>
  <w:style w:type="character" w:customStyle="1" w:styleId="ad">
    <w:name w:val="正文文本 字符"/>
    <w:basedOn w:val="a0"/>
    <w:link w:val="ac"/>
    <w:rPr>
      <w:rFonts w:ascii="华文中宋" w:eastAsia="华文中宋" w:hAnsi="宋体" w:cs="Times New Roman"/>
      <w:kern w:val="0"/>
      <w:sz w:val="44"/>
      <w:szCs w:val="24"/>
    </w:rPr>
  </w:style>
  <w:style w:type="paragraph" w:customStyle="1" w:styleId="ae">
    <w:name w:val="正文文字缩进"/>
    <w:basedOn w:val="a"/>
    <w:next w:val="a"/>
    <w:pPr>
      <w:widowControl/>
      <w:spacing w:line="360" w:lineRule="auto"/>
      <w:ind w:left="900" w:hanging="900"/>
    </w:pPr>
    <w:rPr>
      <w:rFonts w:ascii="Times New Roman" w:hAnsi="Times New Roman" w:cs="Times New Roman"/>
      <w:color w:val="000000"/>
      <w:kern w:val="0"/>
      <w:sz w:val="30"/>
      <w:szCs w:val="20"/>
    </w:rPr>
  </w:style>
  <w:style w:type="character" w:customStyle="1" w:styleId="20">
    <w:name w:val="标题 2 字符"/>
    <w:basedOn w:val="a0"/>
    <w:link w:val="2"/>
    <w:uiPriority w:val="9"/>
    <w:rPr>
      <w:rFonts w:ascii="Calibri Light" w:eastAsia="方正黑体_GBK" w:hAnsi="Calibri Light" w:cs="宋体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9009-2C56-49B3-8C5D-C452639A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556</Words>
  <Characters>3173</Characters>
  <Application>Microsoft Office Word</Application>
  <DocSecurity>0</DocSecurity>
  <Lines>26</Lines>
  <Paragraphs>7</Paragraphs>
  <ScaleCrop>false</ScaleCrop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裕生</dc:creator>
  <cp:lastModifiedBy>Administrator</cp:lastModifiedBy>
  <cp:revision>2</cp:revision>
  <cp:lastPrinted>2023-07-07T07:36:00Z</cp:lastPrinted>
  <dcterms:created xsi:type="dcterms:W3CDTF">2023-07-10T01:44:00Z</dcterms:created>
  <dcterms:modified xsi:type="dcterms:W3CDTF">2023-07-10T01:44:00Z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c9ab746f9f034d29b5a03c0840fccb12_23</vt:lpwstr>
  </property>
</Properties>
</file>